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7" w:rsidRPr="00353C07" w:rsidRDefault="00353C07" w:rsidP="003F6089">
      <w:pPr>
        <w:spacing w:after="0"/>
        <w:ind w:left="4962"/>
        <w:rPr>
          <w:rFonts w:ascii="Times New Roman" w:hAnsi="Times New Roman" w:cs="Times New Roman"/>
          <w:sz w:val="28"/>
          <w:szCs w:val="28"/>
        </w:rPr>
      </w:pPr>
      <w:r w:rsidRPr="00353C07">
        <w:rPr>
          <w:rFonts w:ascii="Times New Roman" w:hAnsi="Times New Roman" w:cs="Times New Roman"/>
          <w:sz w:val="28"/>
          <w:szCs w:val="28"/>
        </w:rPr>
        <w:t>Приложение № 7</w:t>
      </w:r>
    </w:p>
    <w:p w:rsidR="00353C07" w:rsidRPr="00353C07" w:rsidRDefault="00353C07" w:rsidP="003F6089">
      <w:pPr>
        <w:spacing w:after="0"/>
        <w:ind w:left="4962"/>
        <w:rPr>
          <w:rFonts w:ascii="Times New Roman" w:hAnsi="Times New Roman" w:cs="Times New Roman"/>
          <w:sz w:val="28"/>
          <w:szCs w:val="28"/>
        </w:rPr>
      </w:pPr>
      <w:r w:rsidRPr="00353C07">
        <w:rPr>
          <w:rFonts w:ascii="Times New Roman" w:hAnsi="Times New Roman" w:cs="Times New Roman"/>
          <w:sz w:val="28"/>
          <w:szCs w:val="28"/>
        </w:rPr>
        <w:t>к Стратегии социально-экономического</w:t>
      </w:r>
    </w:p>
    <w:p w:rsidR="00353C07" w:rsidRPr="00353C07" w:rsidRDefault="00353C07" w:rsidP="003F6089">
      <w:pPr>
        <w:spacing w:after="0"/>
        <w:ind w:left="4962"/>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3F6089">
      <w:pPr>
        <w:spacing w:after="0"/>
        <w:ind w:left="4962"/>
        <w:rPr>
          <w:rFonts w:ascii="Times New Roman" w:hAnsi="Times New Roman" w:cs="Times New Roman"/>
          <w:sz w:val="28"/>
          <w:szCs w:val="28"/>
        </w:rPr>
      </w:pPr>
      <w:proofErr w:type="spellStart"/>
      <w:r w:rsidRPr="00353C07">
        <w:rPr>
          <w:rFonts w:ascii="Times New Roman" w:hAnsi="Times New Roman" w:cs="Times New Roman"/>
          <w:sz w:val="28"/>
          <w:szCs w:val="28"/>
        </w:rPr>
        <w:t>Тимашевский</w:t>
      </w:r>
      <w:proofErr w:type="spellEnd"/>
      <w:r w:rsidRPr="00353C07">
        <w:rPr>
          <w:rFonts w:ascii="Times New Roman" w:hAnsi="Times New Roman" w:cs="Times New Roman"/>
          <w:sz w:val="28"/>
          <w:szCs w:val="28"/>
        </w:rPr>
        <w:t xml:space="preserve"> район до 2030 года</w:t>
      </w:r>
    </w:p>
    <w:p w:rsidR="00353C07" w:rsidRDefault="00353C07" w:rsidP="00353C07">
      <w:pPr>
        <w:spacing w:after="0"/>
        <w:ind w:left="4479"/>
        <w:rPr>
          <w:rFonts w:ascii="Times New Roman" w:hAnsi="Times New Roman" w:cs="Times New Roman"/>
          <w:sz w:val="28"/>
          <w:szCs w:val="28"/>
        </w:rPr>
      </w:pPr>
    </w:p>
    <w:p w:rsidR="00ED09AD" w:rsidRPr="00353C07" w:rsidRDefault="00ED09AD" w:rsidP="00353C07">
      <w:pPr>
        <w:spacing w:after="0"/>
        <w:ind w:left="4479"/>
        <w:rPr>
          <w:rFonts w:ascii="Times New Roman" w:hAnsi="Times New Roman" w:cs="Times New Roman"/>
          <w:sz w:val="28"/>
          <w:szCs w:val="28"/>
        </w:rPr>
      </w:pPr>
    </w:p>
    <w:p w:rsidR="00353C07" w:rsidRPr="00707109" w:rsidRDefault="00353C07" w:rsidP="00353C07">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0" w:name="_GoBack"/>
      <w:r w:rsidRPr="00707109">
        <w:rPr>
          <w:rFonts w:ascii="Times New Roman" w:eastAsia="Times New Roman" w:hAnsi="Times New Roman" w:cs="Times New Roman"/>
          <w:sz w:val="28"/>
          <w:szCs w:val="28"/>
          <w:lang w:eastAsia="ru-RU"/>
        </w:rPr>
        <w:t>Оценка финансовых ресурсов,</w:t>
      </w:r>
    </w:p>
    <w:p w:rsidR="00353C07" w:rsidRPr="00707109" w:rsidRDefault="00353C07" w:rsidP="00353C0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07109">
        <w:rPr>
          <w:rFonts w:ascii="Times New Roman" w:eastAsia="Times New Roman" w:hAnsi="Times New Roman" w:cs="Times New Roman"/>
          <w:sz w:val="28"/>
          <w:szCs w:val="28"/>
          <w:lang w:eastAsia="ru-RU"/>
        </w:rPr>
        <w:t xml:space="preserve">необходимых для реализации Стратегии социально-экономического развития муниципального образования </w:t>
      </w:r>
      <w:proofErr w:type="spellStart"/>
      <w:r w:rsidRPr="00707109">
        <w:rPr>
          <w:rFonts w:ascii="Times New Roman" w:eastAsia="Times New Roman" w:hAnsi="Times New Roman" w:cs="Times New Roman"/>
          <w:sz w:val="28"/>
          <w:szCs w:val="28"/>
          <w:lang w:eastAsia="ru-RU"/>
        </w:rPr>
        <w:t>Тимашевский</w:t>
      </w:r>
      <w:proofErr w:type="spellEnd"/>
      <w:r w:rsidRPr="00707109">
        <w:rPr>
          <w:rFonts w:ascii="Times New Roman" w:eastAsia="Times New Roman" w:hAnsi="Times New Roman" w:cs="Times New Roman"/>
          <w:sz w:val="28"/>
          <w:szCs w:val="28"/>
          <w:lang w:eastAsia="ru-RU"/>
        </w:rPr>
        <w:t xml:space="preserve"> район до 2030 года</w:t>
      </w:r>
    </w:p>
    <w:bookmarkEnd w:id="0"/>
    <w:p w:rsidR="00353C07" w:rsidRDefault="00353C07" w:rsidP="00353C07">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ED09AD" w:rsidRPr="00353C07" w:rsidRDefault="00ED09AD" w:rsidP="00353C07">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353C07" w:rsidRPr="00353C07" w:rsidRDefault="00353C07" w:rsidP="00353C0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84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968"/>
        <w:gridCol w:w="969"/>
        <w:gridCol w:w="968"/>
        <w:gridCol w:w="956"/>
        <w:gridCol w:w="969"/>
        <w:gridCol w:w="968"/>
        <w:gridCol w:w="1040"/>
      </w:tblGrid>
      <w:tr w:rsidR="00353C07" w:rsidRPr="00353C07" w:rsidTr="00ED09AD">
        <w:trPr>
          <w:cantSplit/>
        </w:trPr>
        <w:tc>
          <w:tcPr>
            <w:tcW w:w="3005" w:type="dxa"/>
            <w:vAlign w:val="center"/>
          </w:tcPr>
          <w:p w:rsidR="00353C07" w:rsidRPr="00353C07" w:rsidRDefault="00ED09AD"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Индикатор </w:t>
            </w:r>
            <w:r w:rsidR="00353C07" w:rsidRPr="00353C07">
              <w:rPr>
                <w:rFonts w:ascii="Times New Roman" w:eastAsia="Times New Roman" w:hAnsi="Times New Roman" w:cs="Times New Roman"/>
                <w:sz w:val="24"/>
                <w:szCs w:val="24"/>
                <w:lang w:eastAsia="ru-RU"/>
              </w:rPr>
              <w:t xml:space="preserve">отрасли </w:t>
            </w:r>
          </w:p>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экономики</w:t>
            </w:r>
          </w:p>
        </w:tc>
        <w:tc>
          <w:tcPr>
            <w:tcW w:w="968"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2017 год</w:t>
            </w:r>
          </w:p>
        </w:tc>
        <w:tc>
          <w:tcPr>
            <w:tcW w:w="969"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2018 год</w:t>
            </w:r>
          </w:p>
        </w:tc>
        <w:tc>
          <w:tcPr>
            <w:tcW w:w="968"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2019 год</w:t>
            </w:r>
          </w:p>
        </w:tc>
        <w:tc>
          <w:tcPr>
            <w:tcW w:w="956" w:type="dxa"/>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2020</w:t>
            </w:r>
          </w:p>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год</w:t>
            </w:r>
          </w:p>
        </w:tc>
        <w:tc>
          <w:tcPr>
            <w:tcW w:w="969"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2024 год</w:t>
            </w:r>
          </w:p>
        </w:tc>
        <w:tc>
          <w:tcPr>
            <w:tcW w:w="968"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2027 год</w:t>
            </w:r>
          </w:p>
        </w:tc>
        <w:tc>
          <w:tcPr>
            <w:tcW w:w="1040" w:type="dxa"/>
            <w:vAlign w:val="center"/>
          </w:tcPr>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 xml:space="preserve">2030 </w:t>
            </w:r>
          </w:p>
          <w:p w:rsidR="00353C07" w:rsidRPr="00353C07" w:rsidRDefault="00353C07" w:rsidP="00353C0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год</w:t>
            </w:r>
          </w:p>
        </w:tc>
      </w:tr>
      <w:tr w:rsidR="00353C07" w:rsidRPr="00353C07" w:rsidTr="002600DC">
        <w:trPr>
          <w:cantSplit/>
          <w:trHeight w:val="208"/>
        </w:trPr>
        <w:tc>
          <w:tcPr>
            <w:tcW w:w="3005"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w:t>
            </w:r>
          </w:p>
        </w:tc>
        <w:tc>
          <w:tcPr>
            <w:tcW w:w="968"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w:t>
            </w:r>
          </w:p>
        </w:tc>
        <w:tc>
          <w:tcPr>
            <w:tcW w:w="969"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w:t>
            </w:r>
          </w:p>
        </w:tc>
        <w:tc>
          <w:tcPr>
            <w:tcW w:w="968"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w:t>
            </w:r>
          </w:p>
        </w:tc>
        <w:tc>
          <w:tcPr>
            <w:tcW w:w="969"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w:t>
            </w:r>
          </w:p>
        </w:tc>
        <w:tc>
          <w:tcPr>
            <w:tcW w:w="968" w:type="dxa"/>
            <w:vAlign w:val="center"/>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7</w:t>
            </w:r>
          </w:p>
        </w:tc>
        <w:tc>
          <w:tcPr>
            <w:tcW w:w="1040" w:type="dxa"/>
            <w:vAlign w:val="center"/>
          </w:tcPr>
          <w:p w:rsidR="00353C07" w:rsidRPr="00ED09AD" w:rsidRDefault="00353C07" w:rsidP="00ED09AD">
            <w:pPr>
              <w:widowControl w:val="0"/>
              <w:autoSpaceDE w:val="0"/>
              <w:autoSpaceDN w:val="0"/>
              <w:spacing w:after="0" w:line="240" w:lineRule="auto"/>
              <w:ind w:left="-57" w:right="-57"/>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w:t>
            </w:r>
          </w:p>
        </w:tc>
      </w:tr>
      <w:tr w:rsidR="00353C07" w:rsidRPr="00353C07" w:rsidTr="002600DC">
        <w:trPr>
          <w:cantSplit/>
          <w:trHeight w:val="20"/>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Прогноз потребности в инвестициях (по крупным и средним предприятиям), необходимых для реализации Стратегии, млн. рублей, в том числе:</w:t>
            </w:r>
          </w:p>
        </w:tc>
        <w:tc>
          <w:tcPr>
            <w:tcW w:w="968"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4958,0</w:t>
            </w:r>
          </w:p>
        </w:tc>
        <w:tc>
          <w:tcPr>
            <w:tcW w:w="969"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3513,8</w:t>
            </w:r>
          </w:p>
        </w:tc>
        <w:tc>
          <w:tcPr>
            <w:tcW w:w="968"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4020,4</w:t>
            </w:r>
          </w:p>
        </w:tc>
        <w:tc>
          <w:tcPr>
            <w:tcW w:w="956"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7728,9</w:t>
            </w:r>
          </w:p>
        </w:tc>
        <w:tc>
          <w:tcPr>
            <w:tcW w:w="969"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11734,5</w:t>
            </w:r>
          </w:p>
        </w:tc>
        <w:tc>
          <w:tcPr>
            <w:tcW w:w="968" w:type="dxa"/>
          </w:tcPr>
          <w:p w:rsidR="00353C07" w:rsidRPr="00ED09AD" w:rsidRDefault="00353C07" w:rsidP="00ED09AD">
            <w:pPr>
              <w:spacing w:after="0"/>
              <w:jc w:val="both"/>
              <w:rPr>
                <w:rFonts w:ascii="Times New Roman" w:hAnsi="Times New Roman" w:cs="Times New Roman"/>
              </w:rPr>
            </w:pPr>
            <w:r w:rsidRPr="00ED09AD">
              <w:rPr>
                <w:rFonts w:ascii="Times New Roman" w:hAnsi="Times New Roman" w:cs="Times New Roman"/>
              </w:rPr>
              <w:t>15442,0</w:t>
            </w:r>
          </w:p>
        </w:tc>
        <w:tc>
          <w:tcPr>
            <w:tcW w:w="1040" w:type="dxa"/>
          </w:tcPr>
          <w:p w:rsidR="00353C07" w:rsidRPr="00ED09AD" w:rsidRDefault="00353C07" w:rsidP="00353C07">
            <w:pPr>
              <w:jc w:val="both"/>
              <w:rPr>
                <w:rFonts w:ascii="Times New Roman" w:hAnsi="Times New Roman" w:cs="Times New Roman"/>
              </w:rPr>
            </w:pPr>
            <w:r w:rsidRPr="00ED09AD">
              <w:rPr>
                <w:rFonts w:ascii="Times New Roman" w:hAnsi="Times New Roman" w:cs="Times New Roman"/>
              </w:rPr>
              <w:t>20593,5</w:t>
            </w:r>
          </w:p>
        </w:tc>
      </w:tr>
      <w:tr w:rsidR="00353C07" w:rsidRPr="00353C07" w:rsidTr="002600DC">
        <w:trPr>
          <w:cantSplit/>
          <w:trHeight w:val="424"/>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Промышленный сектор экономики</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371,7</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501,0</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363,2</w:t>
            </w:r>
          </w:p>
        </w:tc>
        <w:tc>
          <w:tcPr>
            <w:tcW w:w="956"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348,9</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538,6</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690,9</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810,0</w:t>
            </w:r>
          </w:p>
        </w:tc>
      </w:tr>
      <w:tr w:rsidR="00353C07" w:rsidRPr="00353C07" w:rsidTr="002600DC">
        <w:trPr>
          <w:cantSplit/>
          <w:trHeight w:val="689"/>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Агропромышленный сектор экономики, пищевая промышленность</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4301,2</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2318,7</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2760,6</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4162,1</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5494,8</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6955,7</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8978,7</w:t>
            </w:r>
          </w:p>
        </w:tc>
      </w:tr>
      <w:tr w:rsidR="00353C07" w:rsidRPr="00353C07" w:rsidTr="002600DC">
        <w:trPr>
          <w:cantSplit/>
          <w:trHeight w:val="20"/>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Строительная отрасль, ЖКХ и топливно-энергетический сектор экономики</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105,0</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252,0</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190,0</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200,0</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450,0</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480,0</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500,0</w:t>
            </w:r>
          </w:p>
        </w:tc>
      </w:tr>
      <w:tr w:rsidR="00353C07" w:rsidRPr="00353C07" w:rsidTr="002600DC">
        <w:trPr>
          <w:cantSplit/>
          <w:trHeight w:val="20"/>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Торгово-транспортно-логистический сектор экономики</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180,1</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442,1</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706,6</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3017,9</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5251,1</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7315,4</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10304,8</w:t>
            </w:r>
          </w:p>
        </w:tc>
      </w:tr>
      <w:tr w:rsidR="00353C07" w:rsidRPr="00353C07" w:rsidTr="002600DC">
        <w:trPr>
          <w:cantSplit/>
          <w:trHeight w:val="302"/>
        </w:trPr>
        <w:tc>
          <w:tcPr>
            <w:tcW w:w="3005" w:type="dxa"/>
          </w:tcPr>
          <w:p w:rsidR="00353C07" w:rsidRPr="00ED09AD" w:rsidRDefault="00353C07" w:rsidP="00ED09AD">
            <w:pPr>
              <w:widowControl w:val="0"/>
              <w:autoSpaceDE w:val="0"/>
              <w:autoSpaceDN w:val="0"/>
              <w:spacing w:after="0" w:line="240" w:lineRule="auto"/>
              <w:jc w:val="both"/>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Прогноз доходов и расходов бюджета, млн. рублей &lt;*&gt;</w:t>
            </w:r>
          </w:p>
        </w:tc>
        <w:tc>
          <w:tcPr>
            <w:tcW w:w="968"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969"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968"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956"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969"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968"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p>
        </w:tc>
        <w:tc>
          <w:tcPr>
            <w:tcW w:w="1040" w:type="dxa"/>
          </w:tcPr>
          <w:p w:rsidR="00353C07" w:rsidRPr="00ED09AD" w:rsidRDefault="00353C07" w:rsidP="00353C07">
            <w:pPr>
              <w:widowControl w:val="0"/>
              <w:autoSpaceDE w:val="0"/>
              <w:autoSpaceDN w:val="0"/>
              <w:spacing w:after="0" w:line="240" w:lineRule="auto"/>
              <w:rPr>
                <w:rFonts w:ascii="Times New Roman" w:eastAsia="Times New Roman" w:hAnsi="Times New Roman" w:cs="Times New Roman"/>
                <w:lang w:eastAsia="ru-RU"/>
              </w:rPr>
            </w:pPr>
          </w:p>
        </w:tc>
      </w:tr>
      <w:tr w:rsidR="00353C07" w:rsidRPr="00353C07" w:rsidTr="002600DC">
        <w:trPr>
          <w:cantSplit/>
          <w:trHeight w:val="20"/>
        </w:trPr>
        <w:tc>
          <w:tcPr>
            <w:tcW w:w="3005" w:type="dxa"/>
          </w:tcPr>
          <w:p w:rsidR="00353C07" w:rsidRPr="00ED09AD" w:rsidRDefault="00353C07" w:rsidP="00ED09AD">
            <w:pPr>
              <w:widowControl w:val="0"/>
              <w:autoSpaceDE w:val="0"/>
              <w:autoSpaceDN w:val="0"/>
              <w:spacing w:after="0" w:line="240" w:lineRule="auto"/>
              <w:jc w:val="both"/>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Доходы</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2329,9</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2704,3</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2626,9</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2803,4</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2681,6</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2839,6</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3021,8</w:t>
            </w:r>
          </w:p>
        </w:tc>
      </w:tr>
      <w:tr w:rsidR="00353C07" w:rsidRPr="00353C07" w:rsidTr="002600DC">
        <w:trPr>
          <w:cantSplit/>
          <w:trHeight w:val="20"/>
        </w:trPr>
        <w:tc>
          <w:tcPr>
            <w:tcW w:w="3005" w:type="dxa"/>
          </w:tcPr>
          <w:p w:rsidR="00353C07" w:rsidRPr="00ED09AD" w:rsidRDefault="00353C07" w:rsidP="00ED09AD">
            <w:pPr>
              <w:widowControl w:val="0"/>
              <w:autoSpaceDE w:val="0"/>
              <w:autoSpaceDN w:val="0"/>
              <w:spacing w:after="0" w:line="240" w:lineRule="auto"/>
              <w:jc w:val="both"/>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Налоговые доходы</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964,7</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1084,8</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1052,4</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1081,4</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1252,9</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1404,6</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1580,0</w:t>
            </w:r>
          </w:p>
        </w:tc>
      </w:tr>
      <w:tr w:rsidR="00353C07" w:rsidRPr="00353C07" w:rsidTr="00ED09AD">
        <w:trPr>
          <w:cantSplit/>
        </w:trPr>
        <w:tc>
          <w:tcPr>
            <w:tcW w:w="3005" w:type="dxa"/>
          </w:tcPr>
          <w:p w:rsidR="00353C07" w:rsidRPr="00ED09AD" w:rsidRDefault="00353C07" w:rsidP="00ED09AD">
            <w:pPr>
              <w:widowControl w:val="0"/>
              <w:autoSpaceDE w:val="0"/>
              <w:autoSpaceDN w:val="0"/>
              <w:spacing w:after="0" w:line="240" w:lineRule="auto"/>
              <w:jc w:val="both"/>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Неналоговые доходы</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111,3</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125,0</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107,5</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94,5</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102,3</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108,6</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115,4</w:t>
            </w:r>
          </w:p>
        </w:tc>
      </w:tr>
      <w:tr w:rsidR="00353C07" w:rsidRPr="00353C07" w:rsidTr="00ED09AD">
        <w:trPr>
          <w:cantSplit/>
        </w:trPr>
        <w:tc>
          <w:tcPr>
            <w:tcW w:w="3005" w:type="dxa"/>
          </w:tcPr>
          <w:p w:rsidR="00353C07" w:rsidRPr="00ED09AD" w:rsidRDefault="00353C07" w:rsidP="00ED09AD">
            <w:pPr>
              <w:widowControl w:val="0"/>
              <w:autoSpaceDE w:val="0"/>
              <w:autoSpaceDN w:val="0"/>
              <w:spacing w:after="0" w:line="240" w:lineRule="auto"/>
              <w:jc w:val="both"/>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Безвозмездные поступления</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1253,9</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1494,5</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1467</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1627,5</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1326,4</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1326,4</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1326,4</w:t>
            </w:r>
          </w:p>
        </w:tc>
      </w:tr>
      <w:tr w:rsidR="00353C07" w:rsidRPr="00353C07" w:rsidTr="00ED09AD">
        <w:trPr>
          <w:cantSplit/>
          <w:trHeight w:val="173"/>
        </w:trPr>
        <w:tc>
          <w:tcPr>
            <w:tcW w:w="3005" w:type="dxa"/>
          </w:tcPr>
          <w:p w:rsidR="00353C07" w:rsidRPr="00ED09AD" w:rsidRDefault="00353C07" w:rsidP="00ED09AD">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Расходы</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2437,0</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2687</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2626,9</w:t>
            </w:r>
          </w:p>
        </w:tc>
        <w:tc>
          <w:tcPr>
            <w:tcW w:w="956"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2803,4</w:t>
            </w:r>
          </w:p>
        </w:tc>
        <w:tc>
          <w:tcPr>
            <w:tcW w:w="969"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2681,6</w:t>
            </w:r>
          </w:p>
        </w:tc>
        <w:tc>
          <w:tcPr>
            <w:tcW w:w="968" w:type="dxa"/>
          </w:tcPr>
          <w:p w:rsidR="00353C07" w:rsidRPr="00ED09AD" w:rsidRDefault="00353C07" w:rsidP="00ED09AD">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2839,6</w:t>
            </w:r>
          </w:p>
        </w:tc>
        <w:tc>
          <w:tcPr>
            <w:tcW w:w="1040" w:type="dxa"/>
          </w:tcPr>
          <w:p w:rsidR="00353C07" w:rsidRPr="00ED09AD" w:rsidRDefault="00353C07" w:rsidP="00353C07">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3021,8</w:t>
            </w:r>
          </w:p>
        </w:tc>
      </w:tr>
      <w:tr w:rsidR="002600DC" w:rsidRPr="00353C07" w:rsidTr="00F31258">
        <w:trPr>
          <w:cantSplit/>
          <w:trHeight w:val="123"/>
        </w:trPr>
        <w:tc>
          <w:tcPr>
            <w:tcW w:w="3005"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lastRenderedPageBreak/>
              <w:t>1</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w:t>
            </w:r>
          </w:p>
        </w:tc>
        <w:tc>
          <w:tcPr>
            <w:tcW w:w="969"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w:t>
            </w:r>
          </w:p>
        </w:tc>
        <w:tc>
          <w:tcPr>
            <w:tcW w:w="969"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7</w:t>
            </w:r>
          </w:p>
        </w:tc>
        <w:tc>
          <w:tcPr>
            <w:tcW w:w="1040" w:type="dxa"/>
            <w:vAlign w:val="center"/>
          </w:tcPr>
          <w:p w:rsidR="002600DC" w:rsidRPr="00ED09AD" w:rsidRDefault="002600DC" w:rsidP="002600DC">
            <w:pPr>
              <w:widowControl w:val="0"/>
              <w:autoSpaceDE w:val="0"/>
              <w:autoSpaceDN w:val="0"/>
              <w:spacing w:after="0" w:line="240" w:lineRule="auto"/>
              <w:ind w:left="-57" w:right="-57"/>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w:t>
            </w:r>
          </w:p>
        </w:tc>
      </w:tr>
      <w:tr w:rsidR="002600DC" w:rsidRPr="00353C07" w:rsidTr="002600DC">
        <w:trPr>
          <w:cantSplit/>
          <w:trHeight w:val="123"/>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Общегосударственные вопросы</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268,6</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250,1</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280,1</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264,1</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300,5</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325,6</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349,4</w:t>
            </w:r>
          </w:p>
        </w:tc>
      </w:tr>
      <w:tr w:rsidR="002600DC" w:rsidRPr="00353C07" w:rsidTr="00ED09AD">
        <w:trPr>
          <w:cantSplit/>
          <w:trHeight w:val="260"/>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Национальная оборона</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2,5</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2,7</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2,9</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2,9</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3,3</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3,8</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2,9</w:t>
            </w:r>
          </w:p>
        </w:tc>
      </w:tr>
      <w:tr w:rsidR="002600DC" w:rsidRPr="00353C07" w:rsidTr="00ED09AD">
        <w:trPr>
          <w:cantSplit/>
          <w:trHeight w:val="635"/>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Национальная безопасность и правоохранительная деятельность</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15,5</w:t>
            </w:r>
          </w:p>
        </w:tc>
        <w:tc>
          <w:tcPr>
            <w:tcW w:w="969"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40,7</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30,3</w:t>
            </w:r>
          </w:p>
        </w:tc>
        <w:tc>
          <w:tcPr>
            <w:tcW w:w="956"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28,9</w:t>
            </w:r>
          </w:p>
        </w:tc>
        <w:tc>
          <w:tcPr>
            <w:tcW w:w="969"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31,1</w:t>
            </w:r>
          </w:p>
        </w:tc>
        <w:tc>
          <w:tcPr>
            <w:tcW w:w="968"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33,1</w:t>
            </w:r>
          </w:p>
        </w:tc>
        <w:tc>
          <w:tcPr>
            <w:tcW w:w="1040" w:type="dxa"/>
            <w:vAlign w:val="center"/>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34</w:t>
            </w:r>
          </w:p>
        </w:tc>
      </w:tr>
      <w:tr w:rsidR="002600DC" w:rsidRPr="00353C07" w:rsidTr="00ED09AD">
        <w:trPr>
          <w:cantSplit/>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Национальная экономика</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134,1</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150,6</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152,4</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154,8</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168,8</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180,6</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220,8</w:t>
            </w:r>
          </w:p>
        </w:tc>
      </w:tr>
      <w:tr w:rsidR="002600DC" w:rsidRPr="00353C07" w:rsidTr="00ED09AD">
        <w:trPr>
          <w:cantSplit/>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Жилищно-коммунальное хозяйство</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258,4</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182,1</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196,3</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261,4</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245,9</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261,2</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285,6</w:t>
            </w:r>
          </w:p>
        </w:tc>
      </w:tr>
      <w:tr w:rsidR="002600DC" w:rsidRPr="00353C07" w:rsidTr="00ED09AD">
        <w:trPr>
          <w:cantSplit/>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Охрана окружающей среды</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0,1</w:t>
            </w:r>
          </w:p>
        </w:tc>
        <w:tc>
          <w:tcPr>
            <w:tcW w:w="969" w:type="dxa"/>
          </w:tcPr>
          <w:p w:rsidR="002600DC" w:rsidRPr="00ED09AD" w:rsidRDefault="002600DC" w:rsidP="002600DC">
            <w:pPr>
              <w:spacing w:after="0"/>
              <w:jc w:val="center"/>
              <w:rPr>
                <w:rFonts w:ascii="Times New Roman" w:hAnsi="Times New Roman" w:cs="Times New Roman"/>
              </w:rPr>
            </w:pPr>
            <w:r w:rsidRPr="00ED09AD">
              <w:rPr>
                <w:rFonts w:ascii="Times New Roman" w:hAnsi="Times New Roman" w:cs="Times New Roman"/>
              </w:rPr>
              <w:t>0,1</w:t>
            </w:r>
          </w:p>
        </w:tc>
        <w:tc>
          <w:tcPr>
            <w:tcW w:w="968" w:type="dxa"/>
          </w:tcPr>
          <w:p w:rsidR="002600DC" w:rsidRPr="00ED09AD" w:rsidRDefault="002600DC" w:rsidP="002600DC">
            <w:pPr>
              <w:spacing w:after="0"/>
              <w:jc w:val="center"/>
              <w:rPr>
                <w:rFonts w:ascii="Times New Roman" w:hAnsi="Times New Roman" w:cs="Times New Roman"/>
              </w:rPr>
            </w:pPr>
            <w:r w:rsidRPr="00ED09AD">
              <w:rPr>
                <w:rFonts w:ascii="Times New Roman" w:hAnsi="Times New Roman" w:cs="Times New Roman"/>
              </w:rPr>
              <w:t>0,1</w:t>
            </w:r>
          </w:p>
        </w:tc>
        <w:tc>
          <w:tcPr>
            <w:tcW w:w="956" w:type="dxa"/>
          </w:tcPr>
          <w:p w:rsidR="002600DC" w:rsidRPr="00ED09AD" w:rsidRDefault="002600DC" w:rsidP="002600DC">
            <w:pPr>
              <w:spacing w:after="0"/>
              <w:jc w:val="center"/>
              <w:rPr>
                <w:rFonts w:ascii="Times New Roman" w:hAnsi="Times New Roman" w:cs="Times New Roman"/>
              </w:rPr>
            </w:pPr>
            <w:r w:rsidRPr="00ED09AD">
              <w:rPr>
                <w:rFonts w:ascii="Times New Roman" w:hAnsi="Times New Roman" w:cs="Times New Roman"/>
              </w:rPr>
              <w:t>0,1</w:t>
            </w:r>
          </w:p>
        </w:tc>
        <w:tc>
          <w:tcPr>
            <w:tcW w:w="969" w:type="dxa"/>
          </w:tcPr>
          <w:p w:rsidR="002600DC" w:rsidRPr="00ED09AD" w:rsidRDefault="002600DC" w:rsidP="002600DC">
            <w:pPr>
              <w:spacing w:after="0"/>
              <w:jc w:val="center"/>
              <w:rPr>
                <w:rFonts w:ascii="Times New Roman" w:hAnsi="Times New Roman" w:cs="Times New Roman"/>
              </w:rPr>
            </w:pPr>
            <w:r w:rsidRPr="00ED09AD">
              <w:rPr>
                <w:rFonts w:ascii="Times New Roman" w:hAnsi="Times New Roman" w:cs="Times New Roman"/>
              </w:rPr>
              <w:t>0,1</w:t>
            </w:r>
          </w:p>
        </w:tc>
        <w:tc>
          <w:tcPr>
            <w:tcW w:w="968" w:type="dxa"/>
          </w:tcPr>
          <w:p w:rsidR="002600DC" w:rsidRPr="00ED09AD" w:rsidRDefault="002600DC" w:rsidP="002600DC">
            <w:pPr>
              <w:spacing w:after="0"/>
              <w:jc w:val="center"/>
              <w:rPr>
                <w:rFonts w:ascii="Times New Roman" w:hAnsi="Times New Roman" w:cs="Times New Roman"/>
              </w:rPr>
            </w:pPr>
            <w:r w:rsidRPr="00ED09AD">
              <w:rPr>
                <w:rFonts w:ascii="Times New Roman" w:hAnsi="Times New Roman" w:cs="Times New Roman"/>
              </w:rPr>
              <w:t>0,1</w:t>
            </w:r>
          </w:p>
        </w:tc>
        <w:tc>
          <w:tcPr>
            <w:tcW w:w="1040" w:type="dxa"/>
          </w:tcPr>
          <w:p w:rsidR="002600DC" w:rsidRPr="00ED09AD" w:rsidRDefault="002600DC" w:rsidP="002600DC">
            <w:pPr>
              <w:jc w:val="center"/>
              <w:rPr>
                <w:rFonts w:ascii="Times New Roman" w:hAnsi="Times New Roman" w:cs="Times New Roman"/>
              </w:rPr>
            </w:pPr>
            <w:r w:rsidRPr="00ED09AD">
              <w:rPr>
                <w:rFonts w:ascii="Times New Roman" w:hAnsi="Times New Roman" w:cs="Times New Roman"/>
              </w:rPr>
              <w:t>0,1</w:t>
            </w:r>
          </w:p>
        </w:tc>
      </w:tr>
      <w:tr w:rsidR="002600DC" w:rsidRPr="00353C07" w:rsidTr="002600DC">
        <w:trPr>
          <w:cantSplit/>
          <w:trHeight w:val="236"/>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Образование</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1256,8</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1261,5</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1366,5</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1586,2</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1280,9</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1324</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1348,2</w:t>
            </w:r>
          </w:p>
        </w:tc>
      </w:tr>
      <w:tr w:rsidR="002600DC" w:rsidRPr="00353C07" w:rsidTr="002600DC">
        <w:trPr>
          <w:cantSplit/>
          <w:trHeight w:val="469"/>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Культура, кинематография</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179,2</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188,9</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257,4</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187,5</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298,2</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324,7</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342,4</w:t>
            </w:r>
          </w:p>
        </w:tc>
      </w:tr>
      <w:tr w:rsidR="002600DC" w:rsidRPr="00353C07" w:rsidTr="00ED09AD">
        <w:trPr>
          <w:cantSplit/>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Здравоохранение</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81,8</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107,8</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0</w:t>
            </w:r>
          </w:p>
        </w:tc>
      </w:tr>
      <w:tr w:rsidR="002600DC" w:rsidRPr="00353C07" w:rsidTr="00ED09AD">
        <w:trPr>
          <w:cantSplit/>
          <w:trHeight w:val="255"/>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Социальная политика</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129</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371,2</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215,8</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191</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220,5</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236,9</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270,3</w:t>
            </w:r>
          </w:p>
        </w:tc>
      </w:tr>
      <w:tr w:rsidR="002600DC" w:rsidRPr="00353C07" w:rsidTr="00ED09AD">
        <w:trPr>
          <w:cantSplit/>
          <w:trHeight w:val="219"/>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Физическая культура и спорт</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87,6</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112,3</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115,1</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116,2</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119,8</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136,9</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155,2</w:t>
            </w:r>
          </w:p>
        </w:tc>
      </w:tr>
      <w:tr w:rsidR="002600DC" w:rsidRPr="00353C07" w:rsidTr="00ED09AD">
        <w:trPr>
          <w:cantSplit/>
          <w:trHeight w:val="467"/>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Средства массовой информации</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5,6</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4,7</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4,2</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4,5</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6,7</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6,9</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7,1</w:t>
            </w:r>
          </w:p>
        </w:tc>
      </w:tr>
      <w:tr w:rsidR="002600DC" w:rsidRPr="00353C07" w:rsidTr="00ED09AD">
        <w:trPr>
          <w:cantSplit/>
        </w:trPr>
        <w:tc>
          <w:tcPr>
            <w:tcW w:w="3005" w:type="dxa"/>
          </w:tcPr>
          <w:p w:rsidR="002600DC" w:rsidRPr="00ED09AD" w:rsidRDefault="002600DC" w:rsidP="002600DC">
            <w:pPr>
              <w:widowControl w:val="0"/>
              <w:autoSpaceDE w:val="0"/>
              <w:autoSpaceDN w:val="0"/>
              <w:spacing w:after="0" w:line="240" w:lineRule="auto"/>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Обслуживание государственного и муниципального долга</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17,8</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14,3</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5,8</w:t>
            </w:r>
          </w:p>
        </w:tc>
        <w:tc>
          <w:tcPr>
            <w:tcW w:w="956"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5,8</w:t>
            </w:r>
          </w:p>
        </w:tc>
        <w:tc>
          <w:tcPr>
            <w:tcW w:w="969"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5,8</w:t>
            </w:r>
          </w:p>
        </w:tc>
        <w:tc>
          <w:tcPr>
            <w:tcW w:w="968"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5,8</w:t>
            </w:r>
          </w:p>
        </w:tc>
        <w:tc>
          <w:tcPr>
            <w:tcW w:w="1040" w:type="dxa"/>
          </w:tcPr>
          <w:p w:rsidR="002600DC" w:rsidRPr="00ED09AD" w:rsidRDefault="002600DC" w:rsidP="002600DC">
            <w:pPr>
              <w:widowControl w:val="0"/>
              <w:autoSpaceDE w:val="0"/>
              <w:autoSpaceDN w:val="0"/>
              <w:spacing w:after="0" w:line="240" w:lineRule="auto"/>
              <w:jc w:val="center"/>
              <w:rPr>
                <w:rFonts w:ascii="Times New Roman" w:eastAsia="Times New Roman" w:hAnsi="Times New Roman" w:cs="Times New Roman"/>
                <w:lang w:eastAsia="ru-RU"/>
              </w:rPr>
            </w:pPr>
            <w:r w:rsidRPr="00ED09AD">
              <w:rPr>
                <w:rFonts w:ascii="Times New Roman" w:eastAsia="Times New Roman" w:hAnsi="Times New Roman" w:cs="Times New Roman"/>
                <w:lang w:eastAsia="ru-RU"/>
              </w:rPr>
              <w:t>5,8</w:t>
            </w:r>
          </w:p>
        </w:tc>
      </w:tr>
    </w:tbl>
    <w:p w:rsidR="00353C07" w:rsidRPr="00353C07" w:rsidRDefault="00353C07" w:rsidP="00353C07">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p w:rsidR="00353C07" w:rsidRPr="00353C07" w:rsidRDefault="00353C07" w:rsidP="00353C07">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&lt;*&gt; Прогноз доходов и расходов бюджета представляет собой оценку потенциала изменения соответствующих статей бюджета в привязке к реализации базового сценария и не является бюджетным прогнозом. Бюджетный прогноз на долгосрочный период формируется в соответствии с федеральным законодательством и законодательством Краснодарского края.</w:t>
      </w:r>
    </w:p>
    <w:p w:rsidR="00353C07" w:rsidRPr="00353C07" w:rsidRDefault="00353C07" w:rsidP="00353C07">
      <w:pPr>
        <w:rPr>
          <w:rFonts w:ascii="Times New Roman" w:hAnsi="Times New Roman" w:cs="Times New Roman"/>
          <w:sz w:val="24"/>
          <w:szCs w:val="24"/>
        </w:rPr>
      </w:pPr>
    </w:p>
    <w:p w:rsidR="00353C07" w:rsidRPr="00353C07" w:rsidRDefault="00353C07" w:rsidP="00353C07"/>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0E0D3C" w:rsidRDefault="00353C07" w:rsidP="0004680B">
      <w:pPr>
        <w:spacing w:after="0" w:line="240" w:lineRule="auto"/>
        <w:jc w:val="both"/>
      </w:pPr>
      <w:proofErr w:type="spellStart"/>
      <w:r w:rsidRPr="00353C07">
        <w:rPr>
          <w:rFonts w:ascii="Times New Roman" w:hAnsi="Times New Roman" w:cs="Times New Roman"/>
          <w:color w:val="000000" w:themeColor="text1"/>
          <w:sz w:val="28"/>
          <w:szCs w:val="28"/>
        </w:rPr>
        <w:t>Тимашевский</w:t>
      </w:r>
      <w:proofErr w:type="spellEnd"/>
      <w:r w:rsidRPr="00353C07">
        <w:rPr>
          <w:rFonts w:ascii="Times New Roman" w:hAnsi="Times New Roman" w:cs="Times New Roman"/>
          <w:color w:val="000000" w:themeColor="text1"/>
          <w:sz w:val="28"/>
          <w:szCs w:val="28"/>
        </w:rPr>
        <w:t xml:space="preserve"> район                                                                          И.А. </w:t>
      </w:r>
      <w:proofErr w:type="spellStart"/>
      <w:r w:rsidRPr="00353C07">
        <w:rPr>
          <w:rFonts w:ascii="Times New Roman" w:hAnsi="Times New Roman" w:cs="Times New Roman"/>
          <w:color w:val="000000" w:themeColor="text1"/>
          <w:sz w:val="28"/>
          <w:szCs w:val="28"/>
        </w:rPr>
        <w:t>Скрипиль</w:t>
      </w:r>
      <w:proofErr w:type="spellEnd"/>
    </w:p>
    <w:sectPr w:rsidR="000E0D3C" w:rsidSect="00ED09AD">
      <w:headerReference w:type="default" r:id="rId7"/>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56A" w:rsidRDefault="0074456A">
      <w:pPr>
        <w:spacing w:after="0" w:line="240" w:lineRule="auto"/>
      </w:pPr>
      <w:r>
        <w:separator/>
      </w:r>
    </w:p>
  </w:endnote>
  <w:endnote w:type="continuationSeparator" w:id="0">
    <w:p w:rsidR="0074456A" w:rsidRDefault="00744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56A" w:rsidRDefault="0074456A">
      <w:pPr>
        <w:spacing w:after="0" w:line="240" w:lineRule="auto"/>
      </w:pPr>
      <w:r>
        <w:separator/>
      </w:r>
    </w:p>
  </w:footnote>
  <w:footnote w:type="continuationSeparator" w:id="0">
    <w:p w:rsidR="0074456A" w:rsidRDefault="007445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494471"/>
      <w:docPartObj>
        <w:docPartGallery w:val="Page Numbers (Top of Page)"/>
        <w:docPartUnique/>
      </w:docPartObj>
    </w:sdtPr>
    <w:sdtEndPr/>
    <w:sdtContent>
      <w:p w:rsidR="0069177F" w:rsidRDefault="00C8766D">
        <w:pPr>
          <w:pStyle w:val="af1"/>
          <w:jc w:val="center"/>
        </w:pPr>
        <w:r>
          <w:fldChar w:fldCharType="begin"/>
        </w:r>
        <w:r>
          <w:instrText>PAGE   \* MERGEFORMAT</w:instrText>
        </w:r>
        <w:r>
          <w:fldChar w:fldCharType="separate"/>
        </w:r>
        <w:r w:rsidR="00707109">
          <w:rPr>
            <w:noProof/>
          </w:rPr>
          <w:t>2</w:t>
        </w:r>
        <w:r>
          <w:fldChar w:fldCharType="end"/>
        </w:r>
      </w:p>
    </w:sdtContent>
  </w:sdt>
  <w:p w:rsidR="0069177F" w:rsidRDefault="0074456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4680B"/>
    <w:rsid w:val="00127D24"/>
    <w:rsid w:val="002600DC"/>
    <w:rsid w:val="00353C07"/>
    <w:rsid w:val="003F6089"/>
    <w:rsid w:val="00660A60"/>
    <w:rsid w:val="00707109"/>
    <w:rsid w:val="0074456A"/>
    <w:rsid w:val="00A63BFA"/>
    <w:rsid w:val="00BF6730"/>
    <w:rsid w:val="00C8766D"/>
    <w:rsid w:val="00ED0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7</cp:revision>
  <dcterms:created xsi:type="dcterms:W3CDTF">2020-01-22T11:38:00Z</dcterms:created>
  <dcterms:modified xsi:type="dcterms:W3CDTF">2020-01-23T08:00:00Z</dcterms:modified>
</cp:coreProperties>
</file>